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C8347">
      <w:pPr>
        <w:rPr>
          <w:rFonts w:cs="仿宋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仿宋" w:asciiTheme="minorEastAsia" w:hAnsiTheme="minorEastAsia"/>
          <w:b/>
          <w:color w:val="000000"/>
          <w:kern w:val="0"/>
          <w:szCs w:val="21"/>
        </w:rPr>
        <w:t>附件4：</w:t>
      </w:r>
    </w:p>
    <w:p w14:paraId="29B88F56">
      <w:pPr>
        <w:jc w:val="center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2024年鞍山师范学院第二届本科大学生社会工作实务技能大赛</w:t>
      </w:r>
      <w:bookmarkStart w:id="0" w:name="_GoBack"/>
      <w:bookmarkEnd w:id="0"/>
    </w:p>
    <w:p w14:paraId="6129785F">
      <w:pPr>
        <w:jc w:val="center"/>
        <w:rPr>
          <w:rFonts w:cs="仿宋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8"/>
          <w:szCs w:val="28"/>
        </w:rPr>
        <w:t>参赛须知</w:t>
      </w:r>
    </w:p>
    <w:p w14:paraId="15A23E8C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一、社工实务案例评选具体要求</w:t>
      </w:r>
    </w:p>
    <w:p w14:paraId="63BC8E84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本赛项为团队赛（3-5人），参赛团队提交一篇必须为实际介入的社工服务案例，每个团队仅限提交1篇，由大赛专家组进行评审。</w:t>
      </w:r>
    </w:p>
    <w:p w14:paraId="50C564CF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具体要求：案例文本字数3000-5000字，并附2-3张实务过程照片。一是案例须包含社会工作基本要素。设计方案过程应具备服务对象、社会工作者、社会工作专业价值观、专业助人方法、助人活动五大要素。二是案例须反映社会工作的具体流程。要具备个案、小组、社区社会工作案例服务通用过程。三是案例须体现社会工作服务的流程设计、活动计划等必要图表。图表要一目了然，对服务对象的问题要定位准确，所设计的方案合理且有效，能体现服务的阶段性以及最后达到的目标效果。四是案例须引入社工理论。所使用的理论正确，不牵强附会，同时所用理论适用于案主的具体情况，能够合理运用理论帮助服务对象。五是案例须体现具体问题具体分析的工作思路。（社工实务案例模板参见附件5）</w:t>
      </w:r>
    </w:p>
    <w:p w14:paraId="3B5A2428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（请各学院以学院为单位将学生参赛作品及对应的知网查重检测和AIGC检测报告发到邮箱</w:t>
      </w:r>
      <w:r>
        <w:fldChar w:fldCharType="begin"/>
      </w:r>
      <w:r>
        <w:instrText xml:space="preserve"> HYPERLINK "mailto:2824933676@qq.com" </w:instrText>
      </w:r>
      <w:r>
        <w:fldChar w:fldCharType="separate"/>
      </w: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assg2023@126.com</w:t>
      </w: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fldChar w:fldCharType="end"/>
      </w: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）</w:t>
      </w:r>
    </w:p>
    <w:p w14:paraId="15837733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二、社工实务技能竞赛评选具体要求</w:t>
      </w:r>
    </w:p>
    <w:p w14:paraId="7D1554DE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本赛项为团队赛（必须为4人），分为社工理论知识考核和社工实务方案策划展示考核两部分内容：</w:t>
      </w:r>
    </w:p>
    <w:p w14:paraId="61DF44EF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1.社工理论知识考核</w:t>
      </w:r>
    </w:p>
    <w:p w14:paraId="3F76F06A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考核内容为社会工作理论知识，题型为单选题和多选题，以中国社会出版社出版的《社会工作综合能力》和《社会工作实务》中级（2024版）为参考书目，考核时间为60分钟。</w:t>
      </w:r>
    </w:p>
    <w:p w14:paraId="41F2A94F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2.社工实务方案策划展示考核</w:t>
      </w:r>
    </w:p>
    <w:p w14:paraId="653A4317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包括两个环节即实务方案策划与汇报展示。</w:t>
      </w:r>
    </w:p>
    <w:p w14:paraId="4139ACC0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（1）实务方案策划：参赛团队成员根据给定的情境，采用社会工作专业方法，现场合作策划完成一个社会工作服务方案并制作成PPT（给定模板），时间为 120分钟。</w:t>
      </w:r>
    </w:p>
    <w:p w14:paraId="203DE720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（2）实务方案汇报展示：每个团队按抽签顺序，由团队选1名代表根据PPT内容向评审专家展示汇报（10分钟），并进行现场答辩（5分钟）。</w:t>
      </w:r>
    </w:p>
    <w:p w14:paraId="0E2F251D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（注：竞赛具体时间和地点请关注鞍山师范学院创新创业教育工作群通知）</w:t>
      </w:r>
    </w:p>
    <w:p w14:paraId="0E2F60A2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三、竞赛最终成绩评定办法</w:t>
      </w:r>
    </w:p>
    <w:p w14:paraId="58F5F2C6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1.社工实务案例评选成绩</w:t>
      </w:r>
    </w:p>
    <w:p w14:paraId="2C1A934E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按照专家评审分数计算平均分，由高到低确定排名。得数均保留至小数点后一位。</w:t>
      </w:r>
    </w:p>
    <w:p w14:paraId="6D2F034E">
      <w:pPr>
        <w:widowControl/>
        <w:tabs>
          <w:tab w:val="left" w:pos="3948"/>
        </w:tabs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2.社工实务技能竞赛成绩</w:t>
      </w:r>
      <w:r>
        <w:rPr>
          <w:rFonts w:cs="仿宋" w:asciiTheme="minorEastAsia" w:hAnsiTheme="minorEastAsia"/>
          <w:color w:val="000000"/>
          <w:kern w:val="0"/>
          <w:sz w:val="24"/>
        </w:rPr>
        <w:tab/>
      </w:r>
    </w:p>
    <w:p w14:paraId="229C55A3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社工实务技能竞赛总成绩=团队社工理论知识考核成绩的平均分×40%+社工实务方案策划展示考核成绩×60%，总成绩得数保留至小数点后一位。若参赛团体的最终成绩相同时，则依据实务方案策划与展示考核成绩由高到低确定排名。</w:t>
      </w:r>
    </w:p>
    <w:p w14:paraId="5571EFBF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四、竞赛结果公示</w:t>
      </w:r>
    </w:p>
    <w:p w14:paraId="7E5D28A0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大赛评选结果将在鞍山师范学院创新创业教育工作群进行公示。</w:t>
      </w:r>
    </w:p>
    <w:p w14:paraId="0B710C06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五、其他</w:t>
      </w:r>
    </w:p>
    <w:p w14:paraId="48F6D302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1.各学院不限制参赛团队数量，但不接受学生跨学院组队报名，不限赛道但每个学生在同一赛道只能参加一个竞赛团队。</w:t>
      </w:r>
    </w:p>
    <w:p w14:paraId="1D92287A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2．参赛团队按照大赛赛程安排，参赛选手应提前15分钟抵达赛场，凭学生证、身份证件检录，按要求入场，不得迟到早退。</w:t>
      </w:r>
    </w:p>
    <w:p w14:paraId="556F7E97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3．参赛选手请勿携带与竞赛无关的电子设备、通讯设备及其他资料与用品参加比赛。大赛组委会为每个参赛团队准备一个U盘及考试备品。</w:t>
      </w:r>
    </w:p>
    <w:p w14:paraId="135C3375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六、申诉与仲裁</w:t>
      </w:r>
    </w:p>
    <w:p w14:paraId="06EC8DD2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举报实行实名制，并须提供相应证据，匿名举报无效。举报受理由竞赛组委会核查并裁决。书面申诉邮箱</w:t>
      </w:r>
      <w:r>
        <w:fldChar w:fldCharType="begin"/>
      </w:r>
      <w:r>
        <w:instrText xml:space="preserve"> HYPERLINK "mailto:2824933676@qq.com" </w:instrText>
      </w:r>
      <w:r>
        <w:fldChar w:fldCharType="separate"/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assg2023@126.com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fldChar w:fldCharType="end"/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。</w:t>
      </w:r>
    </w:p>
    <w:p w14:paraId="378930D4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24"/>
        </w:rPr>
        <w:t>七、其他未尽事宜</w:t>
      </w:r>
    </w:p>
    <w:p w14:paraId="6F355903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1.所有参赛作品必须为原创作品，不得存在任何知识产权纠纷或争议。主办单位对所有参赛作品有出版、发布、展览等权利。</w:t>
      </w:r>
    </w:p>
    <w:p w14:paraId="6D2FE5EC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2.本次大赛的最终解释权归大赛组委会所有，其他未尽事宜另行通知。</w:t>
      </w:r>
    </w:p>
    <w:p w14:paraId="7A5C4DE5">
      <w:pPr>
        <w:widowControl/>
        <w:spacing w:line="360" w:lineRule="auto"/>
        <w:ind w:firstLine="482" w:firstLineChars="200"/>
        <w:rPr>
          <w:rFonts w:cs="仿宋" w:asciiTheme="minorEastAsia" w:hAnsiTheme="minorEastAsia"/>
          <w:b/>
          <w:color w:val="000000"/>
          <w:kern w:val="0"/>
          <w:sz w:val="24"/>
        </w:rPr>
      </w:pPr>
      <w:r>
        <w:rPr>
          <w:rFonts w:cs="仿宋" w:asciiTheme="minorEastAsia" w:hAnsiTheme="minorEastAsia"/>
          <w:b/>
          <w:color w:val="000000"/>
          <w:kern w:val="0"/>
          <w:sz w:val="24"/>
        </w:rPr>
        <w:t>八、联系方式</w:t>
      </w:r>
    </w:p>
    <w:p w14:paraId="56A59009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王  微    电话：17696618913</w:t>
      </w:r>
    </w:p>
    <w:p w14:paraId="7904373F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解宇新   电话：15142137023</w:t>
      </w:r>
    </w:p>
    <w:p w14:paraId="75E04278">
      <w:pPr>
        <w:widowControl/>
        <w:spacing w:line="360" w:lineRule="auto"/>
        <w:ind w:firstLine="480" w:firstLineChars="200"/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组委会电子邮箱：</w:t>
      </w:r>
      <w:r>
        <w:fldChar w:fldCharType="begin"/>
      </w:r>
      <w:r>
        <w:instrText xml:space="preserve"> HYPERLINK "mailto:2824933676@qq.com" </w:instrText>
      </w:r>
      <w:r>
        <w:fldChar w:fldCharType="separate"/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assg2023@126.com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fldChar w:fldCharType="end"/>
      </w:r>
    </w:p>
    <w:p w14:paraId="51B10B16">
      <w:pPr>
        <w:widowControl/>
        <w:spacing w:line="360" w:lineRule="auto"/>
        <w:ind w:firstLine="420" w:firstLineChars="200"/>
      </w:pPr>
    </w:p>
    <w:p w14:paraId="69450257">
      <w:pPr>
        <w:widowControl/>
        <w:spacing w:line="360" w:lineRule="auto"/>
        <w:ind w:firstLine="420" w:firstLineChars="200"/>
      </w:pPr>
    </w:p>
    <w:p w14:paraId="1A91663C">
      <w:pPr>
        <w:widowControl/>
        <w:spacing w:line="360" w:lineRule="auto"/>
        <w:ind w:firstLine="420" w:firstLineChars="200"/>
      </w:pPr>
    </w:p>
    <w:p w14:paraId="3F4ED286">
      <w:pPr>
        <w:widowControl/>
        <w:spacing w:line="360" w:lineRule="auto"/>
        <w:ind w:firstLine="420" w:firstLineChars="200"/>
      </w:pPr>
    </w:p>
    <w:p w14:paraId="53AA130B">
      <w:pPr>
        <w:widowControl/>
        <w:spacing w:line="360" w:lineRule="auto"/>
        <w:ind w:firstLine="420" w:firstLineChars="200"/>
      </w:pPr>
    </w:p>
    <w:p w14:paraId="7037990E">
      <w:pPr>
        <w:widowControl/>
        <w:spacing w:line="360" w:lineRule="auto"/>
        <w:ind w:firstLine="420" w:firstLineChars="200"/>
      </w:pPr>
    </w:p>
    <w:p w14:paraId="12CEB481">
      <w:pPr>
        <w:widowControl/>
        <w:spacing w:line="360" w:lineRule="auto"/>
        <w:ind w:firstLine="420" w:firstLineChars="200"/>
      </w:pPr>
    </w:p>
    <w:p w14:paraId="36F94E4F">
      <w:pPr>
        <w:widowControl/>
        <w:spacing w:line="360" w:lineRule="auto"/>
        <w:ind w:firstLine="42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 xml:space="preserve">    鞍山师范学院教务处</w:t>
      </w:r>
    </w:p>
    <w:p w14:paraId="71E54AE3">
      <w:pPr>
        <w:widowControl/>
        <w:spacing w:line="360" w:lineRule="auto"/>
        <w:ind w:firstLine="480" w:firstLineChars="200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 xml:space="preserve">                                             2024年10月11日</w:t>
      </w:r>
    </w:p>
    <w:sectPr>
      <w:pgSz w:w="11906" w:h="16838"/>
      <w:pgMar w:top="1440" w:right="153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NDFmY2UwNmE5OGVlMTFkYmJhZjUzODRiZTYzMWEifQ=="/>
  </w:docVars>
  <w:rsids>
    <w:rsidRoot w:val="00982567"/>
    <w:rsid w:val="00014D82"/>
    <w:rsid w:val="0004029E"/>
    <w:rsid w:val="0009681B"/>
    <w:rsid w:val="000A627A"/>
    <w:rsid w:val="000B3A5A"/>
    <w:rsid w:val="000C7B1C"/>
    <w:rsid w:val="00122610"/>
    <w:rsid w:val="001A606E"/>
    <w:rsid w:val="001B1B6D"/>
    <w:rsid w:val="001E7857"/>
    <w:rsid w:val="002649C8"/>
    <w:rsid w:val="002C4F4D"/>
    <w:rsid w:val="002D06B1"/>
    <w:rsid w:val="002D16A0"/>
    <w:rsid w:val="002E51B7"/>
    <w:rsid w:val="002F0482"/>
    <w:rsid w:val="00331B4B"/>
    <w:rsid w:val="0033638A"/>
    <w:rsid w:val="00385BF7"/>
    <w:rsid w:val="0040131E"/>
    <w:rsid w:val="00412686"/>
    <w:rsid w:val="00427DCC"/>
    <w:rsid w:val="00442DF3"/>
    <w:rsid w:val="004571D8"/>
    <w:rsid w:val="004A28BD"/>
    <w:rsid w:val="004A3AED"/>
    <w:rsid w:val="004F0D0C"/>
    <w:rsid w:val="0053037E"/>
    <w:rsid w:val="0055029C"/>
    <w:rsid w:val="00571B87"/>
    <w:rsid w:val="005A46A7"/>
    <w:rsid w:val="005D5319"/>
    <w:rsid w:val="0064742E"/>
    <w:rsid w:val="006718A0"/>
    <w:rsid w:val="00671FB0"/>
    <w:rsid w:val="00672D9B"/>
    <w:rsid w:val="006B0C33"/>
    <w:rsid w:val="00753633"/>
    <w:rsid w:val="008131F8"/>
    <w:rsid w:val="008421D9"/>
    <w:rsid w:val="0084220C"/>
    <w:rsid w:val="00850AC8"/>
    <w:rsid w:val="008E118E"/>
    <w:rsid w:val="008E579D"/>
    <w:rsid w:val="008F3E41"/>
    <w:rsid w:val="009279CF"/>
    <w:rsid w:val="00982567"/>
    <w:rsid w:val="009B14E0"/>
    <w:rsid w:val="009B7F63"/>
    <w:rsid w:val="00A715D0"/>
    <w:rsid w:val="00A74621"/>
    <w:rsid w:val="00AC28A7"/>
    <w:rsid w:val="00B252D3"/>
    <w:rsid w:val="00B57200"/>
    <w:rsid w:val="00B945DB"/>
    <w:rsid w:val="00BA69AF"/>
    <w:rsid w:val="00BC558B"/>
    <w:rsid w:val="00C4726B"/>
    <w:rsid w:val="00C548B8"/>
    <w:rsid w:val="00CC358F"/>
    <w:rsid w:val="00D431D2"/>
    <w:rsid w:val="00D65048"/>
    <w:rsid w:val="00D77094"/>
    <w:rsid w:val="00D8140C"/>
    <w:rsid w:val="00DC2E9B"/>
    <w:rsid w:val="00DE6A78"/>
    <w:rsid w:val="00DF00C3"/>
    <w:rsid w:val="00DF0100"/>
    <w:rsid w:val="00DF1AC2"/>
    <w:rsid w:val="00E05ADE"/>
    <w:rsid w:val="00ED640F"/>
    <w:rsid w:val="00EF2607"/>
    <w:rsid w:val="00F329FE"/>
    <w:rsid w:val="00F41055"/>
    <w:rsid w:val="00F726A1"/>
    <w:rsid w:val="00F77824"/>
    <w:rsid w:val="00FA142C"/>
    <w:rsid w:val="5B4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Char"/>
    <w:basedOn w:val="5"/>
    <w:link w:val="2"/>
    <w:uiPriority w:val="0"/>
    <w:rPr>
      <w:szCs w:val="2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1486</Characters>
  <Lines>12</Lines>
  <Paragraphs>3</Paragraphs>
  <TotalTime>144</TotalTime>
  <ScaleCrop>false</ScaleCrop>
  <LinksUpToDate>false</LinksUpToDate>
  <CharactersWithSpaces>1593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2024-10-10T15:46:00Z</dcterms:created>
  <dc:creator>xbany</dc:creator>
  <cp:lastModifiedBy>曲丽秋</cp:lastModifiedBy>
  <dcterms:modified xsi:type="dcterms:W3CDTF">2024-10-12T01:23:58Z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8B871267EC904FC595622746FF61A843_12</vt:lpwstr>
  </property>
</Properties>
</file>